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eXGyreAdventor" w:hAnsi="TeXGyreAdventor"/>
          <w:b/>
          <w:b/>
          <w:bCs/>
        </w:rPr>
      </w:pPr>
      <w:r>
        <w:rPr/>
        <w:drawing>
          <wp:inline distT="0" distB="0" distL="0" distR="0">
            <wp:extent cx="1979930" cy="19812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eXGyreAdventor" w:hAnsi="TeXGyreAdventor"/>
          <w:b/>
          <w:b/>
          <w:bCs/>
        </w:rPr>
      </w:pPr>
      <w:r>
        <w:rPr>
          <w:rFonts w:ascii="TeXGyreAdventor" w:hAnsi="TeXGyreAdventor"/>
          <w:b/>
          <w:bCs/>
        </w:rPr>
      </w:r>
    </w:p>
    <w:p>
      <w:pPr>
        <w:pStyle w:val="Normal"/>
        <w:jc w:val="center"/>
        <w:rPr>
          <w:rFonts w:ascii="TeXGyreAdventor" w:hAnsi="TeXGyreAdventor"/>
          <w:b/>
          <w:b/>
          <w:bCs/>
          <w:sz w:val="28"/>
          <w:szCs w:val="28"/>
        </w:rPr>
      </w:pPr>
      <w:r>
        <w:rPr>
          <w:rFonts w:ascii="TeXGyreAdventor" w:hAnsi="TeXGyreAdventor"/>
          <w:b/>
          <w:bCs/>
          <w:sz w:val="28"/>
          <w:szCs w:val="28"/>
        </w:rPr>
        <w:t>Zdravé fórum k cestování mezi okresy</w:t>
      </w:r>
    </w:p>
    <w:p>
      <w:pPr>
        <w:pStyle w:val="Normal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Cestování mezi okresy zakazuje krizové opatření Vlády ČR, vyhlášené usnesením č. 216 z 26. 2. 2021. V praxi si lze představit následující životní situace, v nichž tento zákaz může představovat zásadní omezení. Na základě analýzy uvedeného opatření navrhujeme v těchto situacích následující postup. Pokud narazíte na jinou situaci, prosím, informujte nás na </w:t>
      </w:r>
      <w:hyperlink r:id="rId3">
        <w:r>
          <w:rPr>
            <w:rStyle w:val="Internetovodkaz"/>
            <w:rFonts w:ascii="TeXGyreAdventor" w:hAnsi="TeXGyreAdventor"/>
            <w:sz w:val="20"/>
            <w:szCs w:val="20"/>
          </w:rPr>
          <w:t>pravo@zdraveforum.cz</w:t>
        </w:r>
      </w:hyperlink>
      <w:r>
        <w:rPr>
          <w:rFonts w:ascii="TeXGyreAdventor" w:hAnsi="TeXGyreAdventor"/>
          <w:sz w:val="20"/>
          <w:szCs w:val="20"/>
        </w:rPr>
        <w:t xml:space="preserve"> (předem se omlouváme, nebudeme-li reagovat – děláme však vše pro to, abychom pomohli).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b/>
          <w:b/>
          <w:bCs/>
          <w:sz w:val="20"/>
          <w:szCs w:val="20"/>
        </w:rPr>
      </w:pPr>
      <w:r>
        <w:rPr>
          <w:rFonts w:ascii="TeXGyreAdventor" w:hAnsi="TeXGyreAdventor"/>
          <w:b/>
          <w:bCs/>
          <w:sz w:val="20"/>
          <w:szCs w:val="20"/>
        </w:rPr>
        <w:t xml:space="preserve">Návštěva rodičů či prarodičů: 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V tomto případě lze uplatnit výjimku dle čl. II odst. 2 krizového opatření: „nezbytná cesta za účelem zajištění nezbytných potřeb osob příbuzných a blízkých“.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V tomto případě je dle čl. IV odst. 2 krizového opatření potřeba prokázat se čestným prohlášením. Jeho vzor najdete níže – prosíme pouze o změnu účelu cesty.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Příslušníci Policie ČR a Armády ČR nejsou dle našeho názoru oprávněni posuzovat obsah čestného prohlášení s výjimkou situací, kdy informace v něm zcela zjevně neodpovídají skutečnosti. 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Doporučujeme: </w:t>
      </w:r>
    </w:p>
    <w:p>
      <w:pPr>
        <w:pStyle w:val="ListParagraph"/>
        <w:numPr>
          <w:ilvl w:val="2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Mít s sebou vytištěnou verzi krizového opatření se zvýrazněnými ustanoveními čl. II odst. 2 a čl. IV odst. 2. </w:t>
      </w:r>
    </w:p>
    <w:p>
      <w:pPr>
        <w:pStyle w:val="ListParagraph"/>
        <w:numPr>
          <w:ilvl w:val="2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Mít s sebou čestné prohlášení, v němž je vhodné uvést jméno a příjmení osoby, k níž jedete, a město, v němž bydlí. 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Pokud by Vás ani po předložení těchto dokladů nechtěl příslušný orgán vpustit na území jiného okresu, zaznamenejte tuto situaci např. videonahrávkou a kontaktujte nás na </w:t>
      </w:r>
      <w:hyperlink r:id="rId4">
        <w:r>
          <w:rPr>
            <w:rStyle w:val="Internetovodkaz"/>
            <w:rFonts w:ascii="TeXGyreAdventor" w:hAnsi="TeXGyreAdventor"/>
            <w:sz w:val="20"/>
            <w:szCs w:val="20"/>
          </w:rPr>
          <w:t>pravo@zdraveforum.cz</w:t>
        </w:r>
      </w:hyperlink>
      <w:r>
        <w:rPr>
          <w:rFonts w:ascii="TeXGyreAdventor" w:hAnsi="TeXGyreAdventor"/>
          <w:sz w:val="20"/>
          <w:szCs w:val="20"/>
        </w:rPr>
        <w:t xml:space="preserve"> – v takovém případě zřejmě orgány veřejné moci překročily své pravomoci. </w:t>
      </w:r>
    </w:p>
    <w:p>
      <w:pPr>
        <w:pStyle w:val="ListParagraph"/>
        <w:ind w:left="1440" w:hanging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ind w:left="1440" w:hanging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b/>
          <w:b/>
          <w:bCs/>
          <w:sz w:val="20"/>
          <w:szCs w:val="20"/>
        </w:rPr>
      </w:pPr>
      <w:r>
        <w:rPr>
          <w:rFonts w:ascii="TeXGyreAdventor" w:hAnsi="TeXGyreAdventor"/>
          <w:b/>
          <w:bCs/>
          <w:sz w:val="20"/>
          <w:szCs w:val="20"/>
        </w:rPr>
        <w:t>Návštěva dětí či vnoučat (přátel či známých):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V tomto případě lze uplatnit výjimku dle čl. II odst. 2 krizového opatření: „nezbytná cesta za účelem zajištění potřeb pro jinou osobu (např. dobrovolnictví, sousedská výpomoc), zajištění péče o děti, zajištění péče o zvířata“.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V tomto případě je dle čl. IV odst. 2 krizového opatření potřeba prokázat se čestným prohlášením. Jeho vzor najdete níže.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Příslušníci Policie ČR a Armády ČR nejsou dle našeho názoru oprávněni posuzovat obsah čestného prohlášení s výjimkou situací, kdy informace v něm zcela zjevně neodpovídají skutečnosti. 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Doporučujeme: </w:t>
      </w:r>
    </w:p>
    <w:p>
      <w:pPr>
        <w:pStyle w:val="ListParagraph"/>
        <w:numPr>
          <w:ilvl w:val="2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Mít s sebou vytištěnou verzi krizového opatření se zvýrazněnými ustanoveními čl. II odst. 2 a čl. IV odst. 2. </w:t>
      </w:r>
    </w:p>
    <w:p>
      <w:pPr>
        <w:pStyle w:val="ListParagraph"/>
        <w:numPr>
          <w:ilvl w:val="2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Mít s sebou čestné prohlášení, v němž je vhodné uvést jméno a příjmení osoby, k níž jedete, a město, v němž bydlí. </w:t>
      </w:r>
    </w:p>
    <w:p>
      <w:pPr>
        <w:pStyle w:val="ListParagraph"/>
        <w:numPr>
          <w:ilvl w:val="1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Pokud by Vás ani po předložení těchto dokladů nechtěl příslušný orgán vpustit na území jiného okresu, zaznamenejte tuto situaci např. videonahrávkou a kontaktujte nás na </w:t>
      </w:r>
      <w:hyperlink r:id="rId5">
        <w:r>
          <w:rPr>
            <w:rStyle w:val="Internetovodkaz"/>
            <w:rFonts w:ascii="TeXGyreAdventor" w:hAnsi="TeXGyreAdventor"/>
            <w:sz w:val="20"/>
            <w:szCs w:val="20"/>
          </w:rPr>
          <w:t>pravo@zdraveforum.cz</w:t>
        </w:r>
      </w:hyperlink>
      <w:r>
        <w:rPr>
          <w:rFonts w:ascii="TeXGyreAdventor" w:hAnsi="TeXGyreAdventor"/>
          <w:sz w:val="20"/>
          <w:szCs w:val="20"/>
        </w:rPr>
        <w:t xml:space="preserve"> – v takovém případě zřejmě orgány veřejné moci překročily své pravomoci. </w:t>
      </w:r>
    </w:p>
    <w:p>
      <w:pPr>
        <w:pStyle w:val="Normal"/>
        <w:ind w:left="1080" w:hanging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Normal"/>
        <w:ind w:left="1080" w:hanging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V tomto případě lze rovněž sjednat dohodu o provedení práce např. spočívající v hlídání dětí apod. </w:t>
        <w:br/>
      </w:r>
    </w:p>
    <w:p>
      <w:pPr>
        <w:pStyle w:val="Normal"/>
        <w:ind w:left="1080" w:hanging="0"/>
        <w:rPr>
          <w:rFonts w:ascii="TeXGyreAdventor" w:hAnsi="TeXGyreAdventor"/>
          <w:sz w:val="20"/>
          <w:szCs w:val="20"/>
        </w:rPr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rFonts w:ascii="TeXGyreAdventor" w:hAnsi="TeXGyreAdventor"/>
          <w:i/>
          <w:iCs/>
          <w:sz w:val="16"/>
          <w:szCs w:val="16"/>
        </w:rPr>
        <w:br/>
        <w:t xml:space="preserve">Pokud máte k navrženému postupu jakékoliv komentáře, dotazy či připomínky, kontaktujte nás prosím na </w:t>
      </w:r>
      <w:hyperlink r:id="rId6">
        <w:r>
          <w:rPr>
            <w:rStyle w:val="Internetovodkaz"/>
            <w:rFonts w:ascii="TeXGyreAdventor" w:hAnsi="TeXGyreAdventor"/>
            <w:i/>
            <w:iCs/>
            <w:sz w:val="16"/>
            <w:szCs w:val="16"/>
          </w:rPr>
          <w:t>pravo@zdraveforum.cz</w:t>
        </w:r>
      </w:hyperlink>
    </w:p>
    <w:p>
      <w:pPr>
        <w:pStyle w:val="Normal"/>
        <w:rPr/>
      </w:pPr>
      <w:r>
        <w:rPr>
          <w:rFonts w:ascii="TeXGyreAdventor" w:hAnsi="TeXGyreAdventor"/>
          <w:i/>
          <w:iCs/>
          <w:sz w:val="16"/>
          <w:szCs w:val="16"/>
        </w:rPr>
        <w:t xml:space="preserve">Uvedené výjimky jsou, samozřejmě, použitelné i v jiných situacích. Pokud při jejich aplikaci narazíte na jakýkoliv problém, informujte nás prosím na </w:t>
      </w:r>
      <w:hyperlink r:id="rId7">
        <w:r>
          <w:rPr>
            <w:rStyle w:val="Internetovodkaz"/>
            <w:rFonts w:ascii="TeXGyreAdventor" w:hAnsi="TeXGyreAdventor"/>
            <w:i/>
            <w:iCs/>
            <w:sz w:val="16"/>
            <w:szCs w:val="16"/>
          </w:rPr>
          <w:t>pravo@zdraveforum.cz</w:t>
        </w:r>
      </w:hyperlink>
      <w:r>
        <w:rPr>
          <w:rFonts w:ascii="TeXGyreAdventor" w:hAnsi="TeXGyreAdventor"/>
          <w:i/>
          <w:iCs/>
          <w:sz w:val="16"/>
          <w:szCs w:val="16"/>
        </w:rPr>
        <w:t xml:space="preserve">. Pokusíme se reagovat co nejdříve. </w:t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rFonts w:ascii="TeXGyreAdventor" w:hAnsi="TeXGyreAdventor"/>
          <w:i/>
          <w:iCs/>
          <w:sz w:val="16"/>
          <w:szCs w:val="16"/>
        </w:rPr>
        <w:t xml:space="preserve">Veškerá navržená řešení postupně přizpůsobujeme aktuální praxi. Proto budeme rádi za jakoukoliv zkušenost. Současně upozorňujeme, že konečné zodpovězení otázky, zda konkrétní řešení je či není v souladu s právem, náleží soudům. To znamená, že neumíme zaručit, že tyto postupy nakonec soudy neposoudí jako protiprávní. Tvoříme je ale s maximální odpovědností ve spolupráci s odborníky. </w:t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rFonts w:ascii="TeXGyreAdventor" w:hAnsi="TeXGyreAdventor"/>
          <w:i/>
          <w:iCs/>
          <w:sz w:val="16"/>
          <w:szCs w:val="16"/>
        </w:rPr>
        <w:t xml:space="preserve">My ve Zdravém fóru jsme přesvědčeni, že postup Vlády ČR je protizákonný a protiústavní. A že je právem i povinností každého z nás v tuto chvíli využít všech legálních prostředků k projevu nesouhlasu s aktuálním děním. Pokud chcete spolu s námi vyjádřit podobný postoj, jsou Vám naše návody plně k dispozici. My je používáme v rámci OBČANSKÉ NEPOSLUŠNOSTI, coby posledního prostředku před aktivací článku 23 Listiny základních práv a svobod. Ještě (snad) není pozdě. </w:t>
      </w:r>
    </w:p>
    <w:p>
      <w:pPr>
        <w:pStyle w:val="Normal"/>
        <w:rPr>
          <w:rFonts w:ascii="TeXGyreAdventor" w:hAnsi="TeXGyreAdventor"/>
          <w:b/>
          <w:b/>
          <w:bCs/>
          <w:sz w:val="16"/>
          <w:szCs w:val="16"/>
        </w:rPr>
      </w:pPr>
      <w:r>
        <w:rPr>
          <w:rFonts w:ascii="TeXGyreAdventor" w:hAnsi="TeXGyreAdventor"/>
          <w:b/>
          <w:bCs/>
          <w:sz w:val="16"/>
          <w:szCs w:val="16"/>
        </w:rPr>
      </w:r>
      <w:r>
        <w:br w:type="page"/>
      </w:r>
    </w:p>
    <w:p>
      <w:pPr>
        <w:pStyle w:val="Normal"/>
        <w:jc w:val="center"/>
        <w:rPr>
          <w:rFonts w:ascii="TeXGyreAdventor" w:hAnsi="TeXGyreAdventor"/>
          <w:b/>
          <w:b/>
          <w:bCs/>
        </w:rPr>
      </w:pPr>
      <w:r>
        <w:rPr>
          <w:rFonts w:ascii="TeXGyreAdventor" w:hAnsi="TeXGyreAdventor"/>
          <w:b/>
          <w:bCs/>
        </w:rPr>
        <w:t>VZOR</w:t>
      </w:r>
    </w:p>
    <w:p>
      <w:pPr>
        <w:pStyle w:val="Normal"/>
        <w:jc w:val="center"/>
        <w:rPr>
          <w:rFonts w:ascii="TeXGyreAdventor" w:hAnsi="TeXGyreAdventor"/>
          <w:b/>
          <w:b/>
          <w:bCs/>
        </w:rPr>
      </w:pPr>
      <w:r>
        <w:rPr>
          <w:rFonts w:ascii="TeXGyreAdventor" w:hAnsi="TeXGyreAdventor"/>
          <w:b/>
          <w:bCs/>
        </w:rPr>
        <w:t>Čestné prohlášení</w:t>
      </w:r>
    </w:p>
    <w:p>
      <w:pPr>
        <w:pStyle w:val="Normal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Já, </w:t>
      </w:r>
      <w:r>
        <w:rPr>
          <w:rFonts w:ascii="TeXGyreAdventor" w:hAnsi="TeXGyreAdventor"/>
          <w:highlight w:val="yellow"/>
        </w:rPr>
        <w:t>jméno a příjmení</w:t>
      </w:r>
      <w:r>
        <w:rPr>
          <w:rFonts w:ascii="TeXGyreAdventor" w:hAnsi="TeXGyreAdventor"/>
        </w:rPr>
        <w:t xml:space="preserve">, dat. nar. </w:t>
      </w:r>
      <w:r>
        <w:rPr>
          <w:rFonts w:ascii="TeXGyreAdventor" w:hAnsi="TeXGyreAdventor"/>
          <w:highlight w:val="yellow"/>
        </w:rPr>
        <w:t>XXXXXX</w:t>
      </w:r>
      <w:r>
        <w:rPr>
          <w:rFonts w:ascii="TeXGyreAdventor" w:hAnsi="TeXGyreAdventor"/>
        </w:rPr>
        <w:t xml:space="preserve">, bytem </w:t>
      </w:r>
      <w:r>
        <w:rPr>
          <w:rFonts w:ascii="TeXGyreAdventor" w:hAnsi="TeXGyreAdventor"/>
          <w:highlight w:val="yellow"/>
        </w:rPr>
        <w:t>XXXXXXXXXXXXXXXXXXX</w:t>
      </w:r>
      <w:r>
        <w:rPr>
          <w:rFonts w:ascii="TeXGyreAdventor" w:hAnsi="TeXGyreAdventor"/>
        </w:rPr>
        <w:t xml:space="preserve">, tímto čestně prohlašuji, že jedu do města </w:t>
      </w:r>
      <w:r>
        <w:rPr>
          <w:rFonts w:ascii="TeXGyreAdventor" w:hAnsi="TeXGyreAdventor"/>
          <w:highlight w:val="yellow"/>
        </w:rPr>
        <w:t>XXXXXXXXXX</w:t>
      </w:r>
      <w:r>
        <w:rPr>
          <w:rFonts w:ascii="TeXGyreAdventor" w:hAnsi="TeXGyreAdventor"/>
        </w:rPr>
        <w:t xml:space="preserve"> vykonat </w:t>
      </w:r>
      <w:r>
        <w:rPr>
          <w:rFonts w:ascii="TeXGyreAdventor" w:hAnsi="TeXGyreAdventor"/>
          <w:b/>
          <w:bCs/>
          <w:highlight w:val="yellow"/>
        </w:rPr>
        <w:t>dobrovolnickou činnost ve smyslu čl. II odst. 2</w:t>
      </w:r>
      <w:r>
        <w:rPr>
          <w:rFonts w:ascii="TeXGyreAdventor" w:hAnsi="TeXGyreAdventor"/>
        </w:rPr>
        <w:t xml:space="preserve"> usnesení Vlády České republiky č. 216 ze dne 26. 2. 2021, a to na základě ústního slibu pomoci ve smyslu ustanovení § 2056 občanského zákoníku, poskytnutého panu/paní </w:t>
      </w:r>
      <w:r>
        <w:rPr>
          <w:rFonts w:ascii="TeXGyreAdventor" w:hAnsi="TeXGyreAdventor"/>
          <w:highlight w:val="yellow"/>
        </w:rPr>
        <w:t>XXXXXXXXXXX</w:t>
      </w:r>
      <w:r>
        <w:rPr>
          <w:rFonts w:ascii="TeXGyreAdventor" w:hAnsi="TeXGyreAdventor"/>
        </w:rPr>
        <w:t xml:space="preserve">, bytem </w:t>
      </w:r>
      <w:r>
        <w:rPr>
          <w:rFonts w:ascii="TeXGyreAdventor" w:hAnsi="TeXGyreAdventor"/>
          <w:highlight w:val="yellow"/>
        </w:rPr>
        <w:t>(město)</w:t>
      </w:r>
      <w:r>
        <w:rPr>
          <w:rFonts w:ascii="TeXGyreAdventor" w:hAnsi="TeXGyreAdventor"/>
        </w:rPr>
        <w:t xml:space="preserve">. S ohledem na tento slib a možné důsledky spojené s jeho nesplněním je má cesta nezbytná. </w:t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Má dobrovolnická činnost spočívá zejména v: </w:t>
      </w:r>
    </w:p>
    <w:p>
      <w:pPr>
        <w:pStyle w:val="ListParagraph"/>
        <w:numPr>
          <w:ilvl w:val="0"/>
          <w:numId w:val="2"/>
        </w:numPr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zajištění případného nákupu, </w:t>
      </w:r>
    </w:p>
    <w:p>
      <w:pPr>
        <w:pStyle w:val="ListParagraph"/>
        <w:numPr>
          <w:ilvl w:val="0"/>
          <w:numId w:val="2"/>
        </w:numPr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zajištění péče o rodinné příslušníky, </w:t>
      </w:r>
    </w:p>
    <w:p>
      <w:pPr>
        <w:pStyle w:val="ListParagraph"/>
        <w:numPr>
          <w:ilvl w:val="0"/>
          <w:numId w:val="2"/>
        </w:numPr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dalších činnostech, které budou potřebné. </w:t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  <w:t xml:space="preserve">Dne </w:t>
      </w:r>
      <w:r>
        <w:rPr>
          <w:rFonts w:ascii="TeXGyreAdventor" w:hAnsi="TeXGyreAdventor"/>
          <w:highlight w:val="yellow"/>
        </w:rPr>
        <w:t>________________</w:t>
      </w:r>
      <w:r>
        <w:rPr>
          <w:rFonts w:ascii="TeXGyreAdventor" w:hAnsi="TeXGyreAdventor"/>
        </w:rPr>
        <w:t xml:space="preserve"> 2021</w:t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jc w:val="center"/>
        <w:rPr>
          <w:rFonts w:ascii="TeXGyreAdventor" w:hAnsi="TeXGyreAdventor"/>
        </w:rPr>
      </w:pPr>
      <w:r>
        <w:rPr>
          <w:rFonts w:ascii="TeXGyreAdventor" w:hAnsi="TeXGyreAdventor"/>
        </w:rPr>
        <w:t>_______________________</w:t>
      </w:r>
    </w:p>
    <w:p>
      <w:pPr>
        <w:pStyle w:val="Normal"/>
        <w:jc w:val="center"/>
        <w:rPr>
          <w:rFonts w:ascii="TeXGyreAdventor" w:hAnsi="TeXGyreAdventor"/>
        </w:rPr>
      </w:pPr>
      <w:r>
        <w:rPr>
          <w:rFonts w:ascii="TeXGyreAdventor" w:hAnsi="TeXGyreAdventor"/>
          <w:highlight w:val="yellow"/>
        </w:rPr>
        <w:t>Vaše jméno a podpis</w:t>
      </w:r>
    </w:p>
    <w:p>
      <w:pPr>
        <w:pStyle w:val="Normal"/>
        <w:jc w:val="both"/>
        <w:rPr>
          <w:rFonts w:ascii="TeXGyreAdventor" w:hAnsi="TeXGyreAdventor"/>
        </w:rPr>
      </w:pPr>
      <w:r>
        <w:rPr>
          <w:rFonts w:ascii="TeXGyreAdventor" w:hAnsi="TeXGyreAdventor"/>
        </w:rPr>
      </w:r>
    </w:p>
    <w:p>
      <w:pPr>
        <w:pStyle w:val="Normal"/>
        <w:spacing w:before="0" w:after="160"/>
        <w:rPr>
          <w:rFonts w:ascii="TeXGyreAdventor" w:hAnsi="TeXGyreAdventor"/>
        </w:rPr>
      </w:pPr>
      <w:r>
        <w:rPr/>
      </w:r>
    </w:p>
    <w:sectPr>
      <w:type w:val="nextPage"/>
      <w:pgSz w:w="11906" w:h="16838"/>
      <w:pgMar w:left="1417" w:right="1417" w:header="0" w:top="960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GyreAdventor">
    <w:charset w:val="01"/>
    <w:family w:val="roman"/>
    <w:pitch w:val="variable"/>
  </w:font>
  <w:font w:name="Calibri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35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51ec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3c9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33c9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33c99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33c99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351ec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33c9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d33c9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3c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avo@zdraveforum.cz" TargetMode="External"/><Relationship Id="rId4" Type="http://schemas.openxmlformats.org/officeDocument/2006/relationships/hyperlink" Target="mailto:pravo@zdraveforum.cz" TargetMode="External"/><Relationship Id="rId5" Type="http://schemas.openxmlformats.org/officeDocument/2006/relationships/hyperlink" Target="mailto:pravo@zdraveforum.cz" TargetMode="External"/><Relationship Id="rId6" Type="http://schemas.openxmlformats.org/officeDocument/2006/relationships/hyperlink" Target="mailto:pravo@zdraveforum.cz" TargetMode="External"/><Relationship Id="rId7" Type="http://schemas.openxmlformats.org/officeDocument/2006/relationships/hyperlink" Target="mailto:pravo@zdraveforum.cz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Application>LibreOffice/7.0.4.2$MacOSX_X86_64 LibreOffice_project/dcf040e67528d9187c66b2379df5ea4407429775</Application>
  <AppVersion>15.0000</AppVersion>
  <Pages>3</Pages>
  <Words>701</Words>
  <Characters>3955</Characters>
  <CharactersWithSpaces>4631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2021-03-02T21:19:00Z</dcterms:created>
  <dc:creator>Tomas Nielsen</dc:creator>
  <dc:description/>
  <dc:language>cs-CZ</dc:language>
  <cp:lastModifiedBy>Jan Tománek</cp:lastModifiedBy>
  <dcterms:modified xsi:type="dcterms:W3CDTF">2021-03-03T17:58:32Z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